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Игнатович Владлен Константинович, </w:t>
      </w:r>
      <w:r w:rsidRPr="0052751E">
        <w:rPr>
          <w:rFonts w:ascii="Times New Roman" w:hAnsi="Times New Roman" w:cs="Times New Roman"/>
          <w:b/>
          <w:sz w:val="24"/>
          <w:szCs w:val="24"/>
        </w:rPr>
        <w:t>доцент, канд. пед. наук, ФГБОУ ВПО «Кубанский государственный университет»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ЦДОД «Хоста» г. Сочи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2751E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езопасный стиль жизни ребенка как системный образовательный результат»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Модернизация 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образования </w:t>
      </w:r>
      <w:r w:rsidRPr="0052751E">
        <w:rPr>
          <w:rFonts w:ascii="Times New Roman" w:hAnsi="Times New Roman" w:cs="Times New Roman"/>
          <w:sz w:val="24"/>
          <w:szCs w:val="24"/>
        </w:rPr>
        <w:t xml:space="preserve">в первую очередь предполагала переориентацию массовой школы от «знаниевой» парадигмы на системно-деятельностный подход. В самом общем виде его характеризует базовое положение, согласно которому любой образовательный результат формируется в процессе системно организованной деятельности самого ребенка, осуществляемой им в позиции субъекта собственного образовательного продвижения. В то же время вопросы обучения детей </w:t>
      </w:r>
      <w:r>
        <w:rPr>
          <w:rFonts w:ascii="Times New Roman" w:hAnsi="Times New Roman" w:cs="Times New Roman"/>
          <w:sz w:val="24"/>
          <w:szCs w:val="24"/>
        </w:rPr>
        <w:t xml:space="preserve">безопасному поведению </w:t>
      </w:r>
      <w:r w:rsidRPr="0052751E">
        <w:rPr>
          <w:rFonts w:ascii="Times New Roman" w:hAnsi="Times New Roman" w:cs="Times New Roman"/>
          <w:sz w:val="24"/>
          <w:szCs w:val="24"/>
        </w:rPr>
        <w:t>по-прежнему решаются в традиционной рамке трансляции готовых знаний и правил. Предполагается, что ребенка достаточно научить «правильно» вести себя на улице, и его безопасность будет гарантирована.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Статистика ДТП и их несовершеннолетних жертв не подтверждает правоту этих взглядов. Кроме того, из поля зрения педагогов и других взрослых ускользает крайне важное психологическое обстоятельство, о котором, в частности, пишет известный детский психолог В.Т. Кудрявцев. Речь идет «об отсутствии ценнейшего для жизни игрового опыта, который складывается еще до школы. Из этого опыта ребенок выносит знание о том, что есть “на самом деле”, а есть и “понарошку”, тогда он четко разделяет реальный и условный планы жизни» [3]. Именно неотделенность в сознании повзрослевшего ребенка реального и воображаемого планов жизни становится главной причиной его экстремально-инфантильного поведения не только на дорогах, но и везде, где существует реальная опасность и угроза его существованию. Можно утверждать, что именно это свойство психики «недоигравшего» в детстве ребенка становится главной причиной его экстремального, неграмотного поведения в ситуации, когда он не может воспринимать ее объективно с различных позиций. Например, с позиции водителя проезжающего автомобиля. В более широкой смысловой рамке речь идет о несформированности безопасного стиля жизни, главной причиной чего является несформированность системных образовательных результатов, начиная со ступени дошкольного образования.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Для решения этой проблемы необходимы системные образовательные средства. Разумеется, в каждом возрасте они имеют свою специфику, однако, общий принцип  решения проблемы может быть сформулирован следующим образом: безопасный стиль жизни должен стать предметом творческой деятельности ребенка, направленной на решение смысложизненных задач и реализуемой специфически детскими средствами. Для ребенка-дошкольника таким универсальным средством выступает, в первую очередь, игра, для младшего школьника – познание окружающего мира, для подростка…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Именно здесь приходится ставить многоточие, поскольку этот период детства в наименьшей степени проработан в массовом педагогическом сознании. Наиболее часто учителя и воспитатели пребывают в уверенности, что подростков надо учить, практически, так же, как и младших школьников (разница только в количестве изучаемых учебных предметов и сложности их содержания). Более «продвинутые» представители педагогического сообщества делают акцент на организации продуктивных, социально значимых видов деятельности подростков – съемка видеофильмов по тематике ПДД, подготовка викторин, проведение рейдов совместно с сотрудниками ГИБДД и т.д. В нашем опыте поиска инновационных средств решения данной проблемы мы опираемся, во-первых, на представления о проектно-преобразовательном характере образовательной деятельности подростков, осуществляемой при помощи особых «динамических» моделей преобразуемых объектов [2]; во-вторых, на возможности использования особых, событийно-деятельностных форматов организации этой деятельности [</w:t>
      </w:r>
      <w:r w:rsidRPr="0052751E">
        <w:rPr>
          <w:rFonts w:ascii="Times New Roman" w:hAnsi="Times New Roman" w:cs="Times New Roman"/>
          <w:bCs/>
          <w:sz w:val="24"/>
          <w:szCs w:val="24"/>
        </w:rPr>
        <w:t>1</w:t>
      </w:r>
      <w:r w:rsidRPr="0052751E">
        <w:rPr>
          <w:rFonts w:ascii="Times New Roman" w:hAnsi="Times New Roman" w:cs="Times New Roman"/>
          <w:sz w:val="24"/>
          <w:szCs w:val="24"/>
        </w:rPr>
        <w:t>].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Инновационная модель достижения и оценки образовательных р</w:t>
      </w:r>
      <w:r>
        <w:rPr>
          <w:rFonts w:ascii="Times New Roman" w:hAnsi="Times New Roman" w:cs="Times New Roman"/>
          <w:sz w:val="24"/>
          <w:szCs w:val="24"/>
        </w:rPr>
        <w:t>езультатов учащихся</w:t>
      </w:r>
      <w:r w:rsidRPr="0052751E">
        <w:rPr>
          <w:rFonts w:ascii="Times New Roman" w:hAnsi="Times New Roman" w:cs="Times New Roman"/>
          <w:sz w:val="24"/>
          <w:szCs w:val="24"/>
        </w:rPr>
        <w:t>, базирующаяся на указанных основаниях,  включает в себя: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51E">
        <w:rPr>
          <w:rFonts w:ascii="Times New Roman" w:hAnsi="Times New Roman" w:cs="Times New Roman"/>
          <w:bCs/>
          <w:sz w:val="24"/>
          <w:szCs w:val="24"/>
        </w:rPr>
        <w:lastRenderedPageBreak/>
        <w:t>– организацию совместной творческой деятельности учащихся, направленной на решение интересной и значимой для самих учащихся проблемы;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51E">
        <w:rPr>
          <w:rFonts w:ascii="Times New Roman" w:hAnsi="Times New Roman" w:cs="Times New Roman"/>
          <w:bCs/>
          <w:sz w:val="24"/>
          <w:szCs w:val="24"/>
        </w:rPr>
        <w:t>– постановку конкретной проектной задачи, не имеющей готового однозначного решения;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51E">
        <w:rPr>
          <w:rFonts w:ascii="Times New Roman" w:hAnsi="Times New Roman" w:cs="Times New Roman"/>
          <w:bCs/>
          <w:sz w:val="24"/>
          <w:szCs w:val="24"/>
        </w:rPr>
        <w:t>– необходимость использования для решения этой задачи различных средств и ресурсов, включая Интернет;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51E">
        <w:rPr>
          <w:rFonts w:ascii="Times New Roman" w:hAnsi="Times New Roman" w:cs="Times New Roman"/>
          <w:bCs/>
          <w:sz w:val="24"/>
          <w:szCs w:val="24"/>
        </w:rPr>
        <w:t xml:space="preserve">– сочетание индивидуальных и групповых форм работы с распределением коллективной ответственности; 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51E">
        <w:rPr>
          <w:rFonts w:ascii="Times New Roman" w:hAnsi="Times New Roman" w:cs="Times New Roman"/>
          <w:bCs/>
          <w:sz w:val="24"/>
          <w:szCs w:val="24"/>
        </w:rPr>
        <w:t>– презентацию экспертам результата работы в форме социально значимого продукта;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51E">
        <w:rPr>
          <w:rFonts w:ascii="Times New Roman" w:hAnsi="Times New Roman" w:cs="Times New Roman"/>
          <w:bCs/>
          <w:sz w:val="24"/>
          <w:szCs w:val="24"/>
        </w:rPr>
        <w:t>– общение с экспертами, отстаивание своих позиций.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 xml:space="preserve">Общий принцип этой модели может быть охарактеризован известным высказыванием Б. Спинозы: «Хочешь познать вещь – создай ее» (цит. по: [4]). Согласно этому принципу, безопасный стиль жизни ребенка как системный образовательный результат наиболее эффективно может формироваться в процессе решения творческих задач, связанных с проектированием безопасной среды и моделей безопасного поведения в этой среде. 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В качестве примера мы приводим образовательное событие, спроектированное нами совместно с группой педагогов дополнительного образования ЦДОД «Хоста» г. Сочи. Перед группой учащихся 7–8-х классов поставлена задача: на с</w:t>
      </w:r>
      <w:r>
        <w:rPr>
          <w:rFonts w:ascii="Times New Roman" w:hAnsi="Times New Roman" w:cs="Times New Roman"/>
          <w:sz w:val="24"/>
          <w:szCs w:val="24"/>
        </w:rPr>
        <w:t>хеме микрорайона</w:t>
      </w:r>
      <w:r w:rsidRPr="0052751E">
        <w:rPr>
          <w:rFonts w:ascii="Times New Roman" w:hAnsi="Times New Roman" w:cs="Times New Roman"/>
          <w:sz w:val="24"/>
          <w:szCs w:val="24"/>
        </w:rPr>
        <w:t xml:space="preserve"> необходимо расположить объекты (светофоры, подземные переходы, заградительные барьеры, ограничители скорости и др. дорожные знаки и т.д.), обеспечивающие максимальную степень безопасности пешеходов. При этом устанавливается предельно возможная стоимость проекта (в условной валюте); отдельным текстом указывается примерная стоимость различных объектов. Результат решения этой задачи необходимо представить экспертам в виде: 1) нанесенных на схему условных обозначений; 2) макета одного из объектов, который должен быть создан; 3) доклада, в котором будет обоснована целесообразность и эффективность предложенных решений.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Вполне очевидно, что для решения этой задачи учащимся, в первую очередь, необходимо «увидеть» предложенный им микрорайон с точки зрения содержащихся в нем угроз жизни пешеходов: по характеру расположенных объектов (школы, поликлиника, магазины, кинотеатр и т.д.) просчитать наиболее вероятные пешеходные потоки; смоделировать, как и что видят в наиболее проблемных точках сами пешеходы и водители автотранспорта, где наиболее вероятно выпадения угроз из поля их зрения; определить оптимальное количество и расположение создаваемых объектов, обеспечивающих безопасность перемещения; просчитать их примерную стоимость и уложить их в общую смету проекта; представить силами воображения, что и как изменится в восприятии пешеходов и водителей дорожных ситуаций, после того, как проект будет осуществлен; предусмотреть возможные риски; подобрать аргументы, подтверждающие эффективность найденного решения. Главный образовательный результат, достигаемый в данном случае, состоит в том, что каждый участник этого события получает опыт моделирования собственного безопасного поведения в неопределенной ситуации, требующей принятия особого проектного решения.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Особо следует сказать о роли экспертов, оценивающих результат совместной деятельности учащихся. Крайне важно, чтобы эксперты в восприятии детей были полномочными представителями именно той внешней среды, с преобразованием которой была связана решаемая проектная задача. Это обстоятельство позволяет максимально приблизить искусственно заданную воображаемую ситуацию к реальности, воспринять предложенную</w:t>
      </w:r>
      <w:r>
        <w:rPr>
          <w:rFonts w:ascii="Times New Roman" w:hAnsi="Times New Roman" w:cs="Times New Roman"/>
          <w:sz w:val="24"/>
          <w:szCs w:val="24"/>
        </w:rPr>
        <w:t xml:space="preserve"> игру «всерьез»</w:t>
      </w:r>
      <w:r w:rsidRPr="0052751E">
        <w:rPr>
          <w:rFonts w:ascii="Times New Roman" w:hAnsi="Times New Roman" w:cs="Times New Roman"/>
          <w:sz w:val="24"/>
          <w:szCs w:val="24"/>
        </w:rPr>
        <w:t>. Поэтому целесообразно привлекать в качестве экспертов представителей внешней социальной среды, включая сотрудников ГИБДД, представителей управленческих структур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DFB" w:rsidRPr="00B33B51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51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51E">
        <w:rPr>
          <w:rFonts w:ascii="Times New Roman" w:hAnsi="Times New Roman" w:cs="Times New Roman"/>
          <w:bCs/>
          <w:sz w:val="24"/>
          <w:szCs w:val="24"/>
        </w:rPr>
        <w:t>1. Гребенникова В.М., Игнатович В.К., Игнатович С.С. Принцип событийности в организации социокультурных практик учащихся как проектных единиц их индивидуальных образовательных маршрутов // Историческая и социально-образовательная мысль: научный журнал. 2015. № 5. Т. 7. Ч. 1. С. 207 – 213.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2. Концепция подростковой школы / под науч. ред. Б.Д. Эльконина, А.Б. Воронцова. М., 2003. [сайт] URL.: http://www.ouro.ru/iro/exp/koncepciya/  Дата обращения 20. 02. 2015.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 xml:space="preserve">3. Кудрявцев В.Т. Если из детства уходит игра… [сайт] </w:t>
      </w:r>
      <w:r w:rsidRPr="0052751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2751E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D849D7">
          <w:rPr>
            <w:rStyle w:val="a3"/>
            <w:rFonts w:ascii="Times New Roman" w:hAnsi="Times New Roman" w:cs="Times New Roman"/>
            <w:sz w:val="24"/>
            <w:szCs w:val="24"/>
          </w:rPr>
          <w:t>http://tovievich.ru/book/obrazovanie/5785-esli-iz-detstva-uhodit-igra.html</w:t>
        </w:r>
      </w:hyperlink>
      <w:r w:rsidRPr="0052751E">
        <w:rPr>
          <w:rFonts w:ascii="Times New Roman" w:hAnsi="Times New Roman" w:cs="Times New Roman"/>
          <w:sz w:val="24"/>
          <w:szCs w:val="24"/>
        </w:rPr>
        <w:t>. Дата обращения 18.02.2016.</w:t>
      </w:r>
    </w:p>
    <w:p w:rsidR="00FE5DFB" w:rsidRPr="0052751E" w:rsidRDefault="00FE5DFB" w:rsidP="00FE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51E">
        <w:rPr>
          <w:rFonts w:ascii="Times New Roman" w:hAnsi="Times New Roman" w:cs="Times New Roman"/>
          <w:sz w:val="24"/>
          <w:szCs w:val="24"/>
        </w:rPr>
        <w:t>4. Соколов В. Философия Спинозы и современность, М.. 1964.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D4"/>
    <w:rsid w:val="00521CDF"/>
    <w:rsid w:val="00B678D4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679E-E74F-4E9D-9E8C-FBC7F86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vievich.ru/book/obrazovanie/5785-esli-iz-detstva-uhodit-ig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2016-11-03T11:55:00Z</dcterms:created>
  <dcterms:modified xsi:type="dcterms:W3CDTF">2016-11-03T11:55:00Z</dcterms:modified>
</cp:coreProperties>
</file>