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FAA" w:rsidRPr="007829E7" w:rsidRDefault="00841FAA" w:rsidP="0086111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829E7">
        <w:rPr>
          <w:rFonts w:ascii="Arial" w:hAnsi="Arial" w:cs="Arial"/>
          <w:sz w:val="24"/>
          <w:szCs w:val="24"/>
        </w:rPr>
        <w:t>Приложение</w:t>
      </w:r>
    </w:p>
    <w:p w:rsidR="00841FAA" w:rsidRPr="007829E7" w:rsidRDefault="00841FAA" w:rsidP="002439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1FAA" w:rsidRPr="007829E7" w:rsidRDefault="00841FAA" w:rsidP="00841FA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829E7">
        <w:rPr>
          <w:rFonts w:ascii="Arial" w:hAnsi="Arial" w:cs="Arial"/>
          <w:b/>
          <w:sz w:val="24"/>
          <w:szCs w:val="24"/>
        </w:rPr>
        <w:t>В Экспертный совет по государственной молодежной политике</w:t>
      </w:r>
    </w:p>
    <w:p w:rsidR="00841FAA" w:rsidRPr="007829E7" w:rsidRDefault="00841FAA" w:rsidP="00841FA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7829E7">
        <w:rPr>
          <w:rFonts w:ascii="Arial" w:hAnsi="Arial" w:cs="Arial"/>
          <w:b/>
          <w:sz w:val="24"/>
          <w:szCs w:val="24"/>
        </w:rPr>
        <w:t>при Комитете Совета Федерации по социальной политике</w:t>
      </w:r>
    </w:p>
    <w:p w:rsidR="00841FAA" w:rsidRPr="007829E7" w:rsidRDefault="00841FAA" w:rsidP="00841FA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41FAA" w:rsidRPr="007829E7" w:rsidRDefault="00841FAA" w:rsidP="00841FA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41FAA" w:rsidRPr="007829E7" w:rsidRDefault="00841FAA" w:rsidP="00841FA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41FAA" w:rsidRPr="007829E7" w:rsidRDefault="00841FAA" w:rsidP="00841F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29E7">
        <w:rPr>
          <w:rFonts w:ascii="Arial" w:hAnsi="Arial" w:cs="Arial"/>
          <w:b/>
          <w:sz w:val="24"/>
          <w:szCs w:val="24"/>
        </w:rPr>
        <w:t>ПРЕДЛОЖЕНИЯ</w:t>
      </w:r>
    </w:p>
    <w:p w:rsidR="00841FAA" w:rsidRPr="007829E7" w:rsidRDefault="00841FAA" w:rsidP="00841F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29E7">
        <w:rPr>
          <w:rFonts w:ascii="Arial" w:hAnsi="Arial" w:cs="Arial"/>
          <w:b/>
          <w:sz w:val="24"/>
          <w:szCs w:val="24"/>
        </w:rPr>
        <w:t>В ПРОЕКТ ФЕДЕРАЛЬНОГО ЗАКОНА</w:t>
      </w:r>
    </w:p>
    <w:p w:rsidR="00841FAA" w:rsidRPr="007829E7" w:rsidRDefault="00841FAA" w:rsidP="00841F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29E7">
        <w:rPr>
          <w:rFonts w:ascii="Arial" w:hAnsi="Arial" w:cs="Arial"/>
          <w:b/>
          <w:sz w:val="24"/>
          <w:szCs w:val="24"/>
        </w:rPr>
        <w:t>«О МОЛОДЕЖИ И ГОСУДАРСТВЕННОЙ МОЛОДЕЖНОЙ ПОЛИТИКЕ</w:t>
      </w:r>
    </w:p>
    <w:p w:rsidR="00841FAA" w:rsidRPr="007829E7" w:rsidRDefault="00841FAA" w:rsidP="00841F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29E7">
        <w:rPr>
          <w:rFonts w:ascii="Arial" w:hAnsi="Arial" w:cs="Arial"/>
          <w:b/>
          <w:sz w:val="24"/>
          <w:szCs w:val="24"/>
        </w:rPr>
        <w:t>В РОССИЙСКОЙ ФЕДЕРАЦИИ»</w:t>
      </w:r>
    </w:p>
    <w:p w:rsidR="00841FAA" w:rsidRPr="007829E7" w:rsidRDefault="00841FAA" w:rsidP="00841F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9462"/>
      </w:tblGrid>
      <w:tr w:rsidR="00841FAA" w:rsidRPr="007829E7" w:rsidTr="00B928A8">
        <w:tc>
          <w:tcPr>
            <w:tcW w:w="5098" w:type="dxa"/>
          </w:tcPr>
          <w:p w:rsidR="00841FAA" w:rsidRPr="007829E7" w:rsidRDefault="00841FAA" w:rsidP="00B928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29E7">
              <w:rPr>
                <w:rFonts w:ascii="Arial" w:hAnsi="Arial" w:cs="Arial"/>
                <w:b/>
                <w:sz w:val="24"/>
                <w:szCs w:val="24"/>
              </w:rPr>
              <w:t>СТРУКТУРА ФЕДЕРАЛЬНОГО ЗАКОНА</w:t>
            </w:r>
          </w:p>
        </w:tc>
        <w:tc>
          <w:tcPr>
            <w:tcW w:w="9462" w:type="dxa"/>
          </w:tcPr>
          <w:p w:rsidR="00841FAA" w:rsidRPr="007829E7" w:rsidRDefault="00841FAA" w:rsidP="00B928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29E7">
              <w:rPr>
                <w:rFonts w:ascii="Arial" w:hAnsi="Arial" w:cs="Arial"/>
                <w:b/>
                <w:sz w:val="24"/>
                <w:szCs w:val="24"/>
              </w:rPr>
              <w:t>ПРЕДЛОЖЕНИЯ В ПРОЕКТ ФЕДЕРАЛЬНОГО ЗАКОНА</w:t>
            </w:r>
          </w:p>
          <w:p w:rsidR="00841FAA" w:rsidRPr="007829E7" w:rsidRDefault="00841FAA" w:rsidP="00FE7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9E7">
              <w:rPr>
                <w:rFonts w:ascii="Arial" w:hAnsi="Arial" w:cs="Arial"/>
                <w:b/>
                <w:sz w:val="24"/>
                <w:szCs w:val="24"/>
              </w:rPr>
              <w:t>(п</w:t>
            </w:r>
            <w:r w:rsidR="00FE7CDC">
              <w:rPr>
                <w:rFonts w:ascii="Arial" w:hAnsi="Arial" w:cs="Arial"/>
                <w:b/>
                <w:sz w:val="24"/>
                <w:szCs w:val="24"/>
              </w:rPr>
              <w:t>равовые нормы</w:t>
            </w:r>
            <w:r w:rsidRPr="007829E7">
              <w:rPr>
                <w:rFonts w:ascii="Arial" w:hAnsi="Arial" w:cs="Arial"/>
                <w:b/>
                <w:sz w:val="24"/>
                <w:szCs w:val="24"/>
              </w:rPr>
              <w:t>, которые следует закрепить, их конкретные формулировки)</w:t>
            </w:r>
          </w:p>
        </w:tc>
      </w:tr>
      <w:tr w:rsidR="00841FAA" w:rsidRPr="007829E7" w:rsidTr="00B928A8">
        <w:tc>
          <w:tcPr>
            <w:tcW w:w="5098" w:type="dxa"/>
          </w:tcPr>
          <w:p w:rsidR="00841FAA" w:rsidRPr="007829E7" w:rsidRDefault="00841FAA" w:rsidP="00B928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29E7">
              <w:rPr>
                <w:rFonts w:ascii="Arial" w:hAnsi="Arial" w:cs="Arial"/>
                <w:b/>
                <w:sz w:val="24"/>
                <w:szCs w:val="24"/>
              </w:rPr>
              <w:t>Преамбула</w:t>
            </w:r>
          </w:p>
        </w:tc>
        <w:tc>
          <w:tcPr>
            <w:tcW w:w="9462" w:type="dxa"/>
          </w:tcPr>
          <w:p w:rsidR="00841FAA" w:rsidRPr="007829E7" w:rsidRDefault="00841FAA" w:rsidP="00B92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FAA" w:rsidRPr="007829E7" w:rsidTr="00B928A8">
        <w:tc>
          <w:tcPr>
            <w:tcW w:w="5098" w:type="dxa"/>
          </w:tcPr>
          <w:p w:rsidR="00841FAA" w:rsidRPr="007829E7" w:rsidRDefault="00841FAA" w:rsidP="00B928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29E7">
              <w:rPr>
                <w:rFonts w:ascii="Arial" w:hAnsi="Arial" w:cs="Arial"/>
                <w:b/>
                <w:sz w:val="24"/>
                <w:szCs w:val="24"/>
              </w:rPr>
              <w:t>Глава 1. Общие положения.</w:t>
            </w:r>
          </w:p>
          <w:p w:rsidR="00841FAA" w:rsidRPr="007829E7" w:rsidRDefault="00841FAA" w:rsidP="00B928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9E7">
              <w:rPr>
                <w:rFonts w:ascii="Arial" w:hAnsi="Arial" w:cs="Arial"/>
                <w:sz w:val="24"/>
                <w:szCs w:val="24"/>
              </w:rPr>
              <w:t xml:space="preserve">Основные понятия, используемые в настоящем Федеральном законе. Предмет регулирования Федерального закона. Законодательство Российской Федерации о государственной молодежной политике. Молодежь и государственная молодежная политика в Российской Федерации. Принципы государственной молодежной политики в Российской Федерации. Основные направления государственной молодежной политики в Российской Федерации. Полномочия федеральных органов государственной власти и органов государственной власти субъектов Российской Федерации в сфере государственной молодежной политики. Участие органов местного самоуправления в осуществлении государственной </w:t>
            </w:r>
            <w:r w:rsidRPr="007829E7">
              <w:rPr>
                <w:rFonts w:ascii="Arial" w:hAnsi="Arial" w:cs="Arial"/>
                <w:sz w:val="24"/>
                <w:szCs w:val="24"/>
              </w:rPr>
              <w:lastRenderedPageBreak/>
              <w:t>молодежной политики в Российской Федерации. Обеспечение соблюдения прав молодежи и основы их осуществления в Российской Федерации. Обязательность учета молодежных аспектов в государственных концепциях и программах социально-экономического развития Российской Федерации. Государственный доклад о положении молодежи и реализации государственной молодежной политики в Российской Федерации.</w:t>
            </w:r>
          </w:p>
        </w:tc>
        <w:tc>
          <w:tcPr>
            <w:tcW w:w="9462" w:type="dxa"/>
          </w:tcPr>
          <w:p w:rsidR="00841FAA" w:rsidRPr="007829E7" w:rsidRDefault="00841FAA" w:rsidP="00B92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FAA" w:rsidRPr="007829E7" w:rsidTr="00B928A8">
        <w:tc>
          <w:tcPr>
            <w:tcW w:w="5098" w:type="dxa"/>
          </w:tcPr>
          <w:p w:rsidR="00841FAA" w:rsidRPr="007829E7" w:rsidRDefault="00841FAA" w:rsidP="00B928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29E7">
              <w:rPr>
                <w:rFonts w:ascii="Arial" w:hAnsi="Arial" w:cs="Arial"/>
                <w:b/>
                <w:sz w:val="24"/>
                <w:szCs w:val="24"/>
              </w:rPr>
              <w:lastRenderedPageBreak/>
              <w:t>Глава 2. Правовой механизм разработки и реализации государственной молодежной политики в Российской Федерации.</w:t>
            </w:r>
          </w:p>
          <w:p w:rsidR="00841FAA" w:rsidRPr="007829E7" w:rsidRDefault="00841FAA" w:rsidP="00B928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9E7">
              <w:rPr>
                <w:rFonts w:ascii="Arial" w:hAnsi="Arial" w:cs="Arial"/>
                <w:sz w:val="24"/>
                <w:szCs w:val="24"/>
              </w:rPr>
              <w:t xml:space="preserve">Основы обеспечения разработки и реализации государственной молодежной политики в Российской Федерации. Стратегии и концепции государственной молодежной политики. Органы, реализующие государственную молодежную политику. Федеральные молодежные программы и мероприятия. Межрегиональные и региональные программы и мероприятия по работе с молодежью. Формирование системы государственной поддержки молодежных проектов. Кадровое обеспечение реализации государственной молодежной политики. Финансирование государственной молодежной политики. Государственные и муниципальные специализированные организации, создающие условия для социального развития молодежи. Привлечение </w:t>
            </w:r>
            <w:r w:rsidRPr="007829E7">
              <w:rPr>
                <w:rFonts w:ascii="Arial" w:hAnsi="Arial" w:cs="Arial"/>
                <w:sz w:val="24"/>
                <w:szCs w:val="24"/>
              </w:rPr>
              <w:lastRenderedPageBreak/>
              <w:t>негосударственных организаций и отдельных граждан к участию в реализации государственной молодежной политики в Российской Федерации. Информационное сопровождение реализации государственной молодежной политики.</w:t>
            </w:r>
          </w:p>
        </w:tc>
        <w:tc>
          <w:tcPr>
            <w:tcW w:w="9462" w:type="dxa"/>
          </w:tcPr>
          <w:p w:rsidR="00841FAA" w:rsidRPr="007829E7" w:rsidRDefault="00841FAA" w:rsidP="00B92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FAA" w:rsidRPr="007829E7" w:rsidTr="00B928A8">
        <w:tc>
          <w:tcPr>
            <w:tcW w:w="5098" w:type="dxa"/>
          </w:tcPr>
          <w:p w:rsidR="00841FAA" w:rsidRPr="007829E7" w:rsidRDefault="00841FAA" w:rsidP="00B928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29E7">
              <w:rPr>
                <w:rFonts w:ascii="Arial" w:hAnsi="Arial" w:cs="Arial"/>
                <w:b/>
                <w:sz w:val="24"/>
                <w:szCs w:val="24"/>
              </w:rPr>
              <w:lastRenderedPageBreak/>
              <w:t>Глава 3. Правовые гарантии участия молодежи в разработке и реализации государственной молодежной политики в Российской Федерации.</w:t>
            </w:r>
          </w:p>
          <w:p w:rsidR="00841FAA" w:rsidRPr="007829E7" w:rsidRDefault="00841FAA" w:rsidP="00B928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9E7">
              <w:rPr>
                <w:rFonts w:ascii="Arial" w:hAnsi="Arial" w:cs="Arial"/>
                <w:sz w:val="24"/>
                <w:szCs w:val="24"/>
              </w:rPr>
              <w:t>Основные формы участия молодежи в разработке и реализации государственной молодежной политики в Российской Федерации. Форумы молодежи. Молодежные парламенты, палаты и ассамблеи. Молодежные советы при органах государственной власти и органах местного самоуправления. Молодежное добровольчество. Молодежные и детские общественные объединения, их координационные советы. Взаимодействие органов государственной власти и органов местного самоуправления с молодежными и детскими общественными объединениями. Государственные гарантии деятельности молодежных и детских общественных объединений, их участия в разработке и реализации государственной молодежной политики.</w:t>
            </w:r>
          </w:p>
        </w:tc>
        <w:tc>
          <w:tcPr>
            <w:tcW w:w="9462" w:type="dxa"/>
          </w:tcPr>
          <w:p w:rsidR="00841FAA" w:rsidRPr="007829E7" w:rsidRDefault="00841FAA" w:rsidP="00B92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FAA" w:rsidRPr="007829E7" w:rsidTr="00B928A8">
        <w:tc>
          <w:tcPr>
            <w:tcW w:w="5098" w:type="dxa"/>
          </w:tcPr>
          <w:p w:rsidR="00841FAA" w:rsidRPr="007829E7" w:rsidRDefault="00841FAA" w:rsidP="00B928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29E7">
              <w:rPr>
                <w:rFonts w:ascii="Arial" w:hAnsi="Arial" w:cs="Arial"/>
                <w:b/>
                <w:sz w:val="24"/>
                <w:szCs w:val="24"/>
              </w:rPr>
              <w:t>Глава 4. Заключительные положения.</w:t>
            </w:r>
          </w:p>
          <w:p w:rsidR="00841FAA" w:rsidRPr="007829E7" w:rsidRDefault="00841FAA" w:rsidP="00B928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9E7">
              <w:rPr>
                <w:rFonts w:ascii="Arial" w:hAnsi="Arial" w:cs="Arial"/>
                <w:sz w:val="24"/>
                <w:szCs w:val="24"/>
              </w:rPr>
              <w:t xml:space="preserve">Гарантии осуществления настоящего Федерального закона. Ответственность органов государственной власти и органов местного самоуправления, их должностных лиц за исполнение настоящего </w:t>
            </w:r>
            <w:r w:rsidRPr="007829E7">
              <w:rPr>
                <w:rFonts w:ascii="Arial" w:hAnsi="Arial" w:cs="Arial"/>
                <w:sz w:val="24"/>
                <w:szCs w:val="24"/>
              </w:rPr>
              <w:lastRenderedPageBreak/>
              <w:t>Федерального закона. Вступление в силу настоящего Федерального закона. Приведение нормативных правовых актов в соответствие с настоящим Федеральным законом.</w:t>
            </w:r>
          </w:p>
        </w:tc>
        <w:tc>
          <w:tcPr>
            <w:tcW w:w="9462" w:type="dxa"/>
          </w:tcPr>
          <w:p w:rsidR="00841FAA" w:rsidRPr="007829E7" w:rsidRDefault="00841FAA" w:rsidP="00B92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1FAA" w:rsidRPr="007829E7" w:rsidRDefault="00841FAA" w:rsidP="002439B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41FAA" w:rsidRPr="007829E7" w:rsidSect="00380B1F">
      <w:pgSz w:w="16838" w:h="11906" w:orient="landscape" w:code="9"/>
      <w:pgMar w:top="851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F5119"/>
    <w:multiLevelType w:val="hybridMultilevel"/>
    <w:tmpl w:val="812C15E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C5"/>
    <w:rsid w:val="00006C4F"/>
    <w:rsid w:val="000415AE"/>
    <w:rsid w:val="00110203"/>
    <w:rsid w:val="001204C5"/>
    <w:rsid w:val="001B5921"/>
    <w:rsid w:val="001E3C5F"/>
    <w:rsid w:val="002439BA"/>
    <w:rsid w:val="0025376E"/>
    <w:rsid w:val="003123B4"/>
    <w:rsid w:val="003271C5"/>
    <w:rsid w:val="00380B1F"/>
    <w:rsid w:val="003D260B"/>
    <w:rsid w:val="006126AC"/>
    <w:rsid w:val="007829E7"/>
    <w:rsid w:val="00841FAA"/>
    <w:rsid w:val="00861118"/>
    <w:rsid w:val="009D53FB"/>
    <w:rsid w:val="00B30C5D"/>
    <w:rsid w:val="00CE2829"/>
    <w:rsid w:val="00F2316C"/>
    <w:rsid w:val="00F645A9"/>
    <w:rsid w:val="00FE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8DE6A"/>
  <w15:docId w15:val="{C550727A-6FE1-4A72-9BB7-BD173DEF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0C5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extexposedshow">
    <w:name w:val="text_exposed_show"/>
    <w:basedOn w:val="a0"/>
    <w:rsid w:val="003123B4"/>
  </w:style>
  <w:style w:type="character" w:customStyle="1" w:styleId="apple-converted-space">
    <w:name w:val="apple-converted-space"/>
    <w:basedOn w:val="a0"/>
    <w:rsid w:val="003123B4"/>
  </w:style>
  <w:style w:type="character" w:styleId="a5">
    <w:name w:val="Hyperlink"/>
    <w:basedOn w:val="a0"/>
    <w:uiPriority w:val="99"/>
    <w:unhideWhenUsed/>
    <w:rsid w:val="00006C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3</cp:revision>
  <dcterms:created xsi:type="dcterms:W3CDTF">2017-05-18T05:25:00Z</dcterms:created>
  <dcterms:modified xsi:type="dcterms:W3CDTF">2017-05-19T06:49:00Z</dcterms:modified>
</cp:coreProperties>
</file>